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3" w:rsidRPr="00360B9C" w:rsidRDefault="00387304" w:rsidP="003873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  <w:bookmarkStart w:id="0" w:name="_GoBack"/>
      <w:bookmarkEnd w:id="0"/>
      <w:r w:rsidRPr="00360B9C">
        <w:rPr>
          <w:rFonts w:ascii="Arial" w:hAnsi="Arial" w:cs="Arial"/>
          <w:bCs/>
          <w:sz w:val="20"/>
          <w:szCs w:val="20"/>
          <w:lang w:eastAsia="ru-RU"/>
        </w:rPr>
        <w:t xml:space="preserve">Начало действия документа - </w:t>
      </w:r>
      <w:hyperlink r:id="rId5" w:history="1">
        <w:r w:rsidRPr="00360B9C">
          <w:rPr>
            <w:rFonts w:ascii="Arial" w:hAnsi="Arial" w:cs="Arial"/>
            <w:bCs/>
            <w:sz w:val="20"/>
            <w:szCs w:val="20"/>
            <w:lang w:eastAsia="ru-RU"/>
          </w:rPr>
          <w:t>03.02.2013</w:t>
        </w:r>
      </w:hyperlink>
      <w:r w:rsidRPr="00360B9C">
        <w:rPr>
          <w:rFonts w:ascii="Arial" w:hAnsi="Arial" w:cs="Arial"/>
          <w:bCs/>
          <w:sz w:val="20"/>
          <w:szCs w:val="20"/>
          <w:lang w:eastAsia="ru-RU"/>
        </w:rPr>
        <w:t>.</w:t>
      </w:r>
    </w:p>
    <w:p w:rsidR="00273A23" w:rsidRPr="00360B9C" w:rsidRDefault="00273A23" w:rsidP="00273A23">
      <w:pPr>
        <w:pStyle w:val="ConsPlusNormal"/>
        <w:outlineLvl w:val="0"/>
      </w:pPr>
      <w:r w:rsidRPr="00360B9C">
        <w:t>Зарегистрировано в Минюсте России 29 декабря 2012 г. N 26511</w:t>
      </w:r>
    </w:p>
    <w:p w:rsidR="00273A23" w:rsidRPr="00360B9C" w:rsidRDefault="00273A23" w:rsidP="00273A2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73A23" w:rsidRPr="00360B9C" w:rsidRDefault="00273A23" w:rsidP="00273A23">
      <w:pPr>
        <w:pStyle w:val="ConsPlusNormal"/>
      </w:pPr>
    </w:p>
    <w:p w:rsidR="00273A23" w:rsidRPr="00360B9C" w:rsidRDefault="00273A23" w:rsidP="00273A23">
      <w:pPr>
        <w:pStyle w:val="ConsPlusTitle"/>
        <w:jc w:val="center"/>
      </w:pPr>
      <w:r w:rsidRPr="00360B9C">
        <w:t>МИНИСТЕРСТВО ЗДРАВООХРАНЕНИЯ РОССИЙСКОЙ ФЕДЕРАЦИИ</w:t>
      </w:r>
    </w:p>
    <w:p w:rsidR="00273A23" w:rsidRPr="00360B9C" w:rsidRDefault="00273A23" w:rsidP="00273A23">
      <w:pPr>
        <w:pStyle w:val="ConsPlusTitle"/>
        <w:jc w:val="center"/>
      </w:pPr>
    </w:p>
    <w:p w:rsidR="00273A23" w:rsidRPr="00360B9C" w:rsidRDefault="00273A23" w:rsidP="00273A23">
      <w:pPr>
        <w:pStyle w:val="ConsPlusTitle"/>
        <w:jc w:val="center"/>
      </w:pPr>
      <w:r w:rsidRPr="00360B9C">
        <w:t>ПРИКАЗ</w:t>
      </w:r>
    </w:p>
    <w:p w:rsidR="00273A23" w:rsidRPr="00360B9C" w:rsidRDefault="00273A23" w:rsidP="00273A23">
      <w:pPr>
        <w:pStyle w:val="ConsPlusTitle"/>
        <w:jc w:val="center"/>
      </w:pPr>
      <w:r w:rsidRPr="00360B9C">
        <w:t>от 6 декабря 2012 г. N 1011н</w:t>
      </w:r>
    </w:p>
    <w:p w:rsidR="00273A23" w:rsidRPr="00360B9C" w:rsidRDefault="00273A23" w:rsidP="00273A23">
      <w:pPr>
        <w:pStyle w:val="ConsPlusTitle"/>
        <w:jc w:val="center"/>
      </w:pPr>
    </w:p>
    <w:p w:rsidR="00273A23" w:rsidRPr="00360B9C" w:rsidRDefault="00273A23" w:rsidP="00273A23">
      <w:pPr>
        <w:pStyle w:val="ConsPlusTitle"/>
        <w:jc w:val="center"/>
      </w:pPr>
      <w:r w:rsidRPr="00360B9C">
        <w:t>ОБ УТВЕРЖДЕНИИ ПОРЯДКА</w:t>
      </w:r>
    </w:p>
    <w:p w:rsidR="00273A23" w:rsidRPr="00360B9C" w:rsidRDefault="00273A23" w:rsidP="00273A23">
      <w:pPr>
        <w:pStyle w:val="ConsPlusTitle"/>
        <w:jc w:val="center"/>
      </w:pPr>
      <w:r w:rsidRPr="00360B9C">
        <w:t>ПРОВЕДЕНИЯ ПРОФИЛАКТИЧЕСКОГО МЕДИЦИНСКОГО ОСМОТРА</w:t>
      </w: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В соответствии со </w:t>
      </w:r>
      <w:hyperlink r:id="rId6" w:history="1">
        <w:r w:rsidRPr="00360B9C">
          <w:t>статьей 46</w:t>
        </w:r>
      </w:hyperlink>
      <w:r w:rsidRPr="00360B9C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Утвердить </w:t>
      </w:r>
      <w:hyperlink w:anchor="Par27" w:history="1">
        <w:r w:rsidRPr="00360B9C">
          <w:t>порядок</w:t>
        </w:r>
      </w:hyperlink>
      <w:r w:rsidRPr="00360B9C">
        <w:t xml:space="preserve"> проведения профилактического медицинского осмотра согласно приложению.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jc w:val="right"/>
      </w:pPr>
      <w:r w:rsidRPr="00360B9C">
        <w:t>Министр</w:t>
      </w:r>
    </w:p>
    <w:p w:rsidR="00273A23" w:rsidRPr="00360B9C" w:rsidRDefault="00273A23" w:rsidP="00273A23">
      <w:pPr>
        <w:pStyle w:val="ConsPlusNormal"/>
        <w:jc w:val="right"/>
      </w:pPr>
      <w:r w:rsidRPr="00360B9C">
        <w:t>В.И.СКВОРЦОВА</w:t>
      </w: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Normal"/>
        <w:jc w:val="right"/>
        <w:outlineLvl w:val="0"/>
      </w:pPr>
      <w:r w:rsidRPr="00360B9C">
        <w:t>Приложение</w:t>
      </w:r>
    </w:p>
    <w:p w:rsidR="00273A23" w:rsidRPr="00360B9C" w:rsidRDefault="00273A23" w:rsidP="00273A23">
      <w:pPr>
        <w:pStyle w:val="ConsPlusNormal"/>
        <w:jc w:val="right"/>
      </w:pPr>
      <w:r w:rsidRPr="00360B9C">
        <w:t>к приказу Министерства здравоохранения</w:t>
      </w:r>
    </w:p>
    <w:p w:rsidR="00273A23" w:rsidRPr="00360B9C" w:rsidRDefault="00273A23" w:rsidP="00273A23">
      <w:pPr>
        <w:pStyle w:val="ConsPlusNormal"/>
        <w:jc w:val="right"/>
      </w:pPr>
      <w:r w:rsidRPr="00360B9C">
        <w:t>Российской Федерации</w:t>
      </w:r>
    </w:p>
    <w:p w:rsidR="00273A23" w:rsidRPr="00360B9C" w:rsidRDefault="00273A23" w:rsidP="00273A23">
      <w:pPr>
        <w:pStyle w:val="ConsPlusNormal"/>
        <w:jc w:val="right"/>
      </w:pPr>
      <w:r w:rsidRPr="00360B9C">
        <w:t>от 6 декабря 2012 г. N 1011н</w:t>
      </w: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Title"/>
        <w:jc w:val="center"/>
      </w:pPr>
      <w:bookmarkStart w:id="1" w:name="Par27"/>
      <w:bookmarkEnd w:id="1"/>
      <w:r w:rsidRPr="00360B9C">
        <w:t>ПОРЯДОК ПРОВЕДЕНИЯ ПРОФИЛАКТИЧЕСКОГО МЕДИЦИНСКОГО ОСМОТРА</w:t>
      </w:r>
    </w:p>
    <w:p w:rsidR="00273A23" w:rsidRPr="00360B9C" w:rsidRDefault="00273A23" w:rsidP="00273A23">
      <w:pPr>
        <w:pStyle w:val="ConsPlusNormal"/>
        <w:jc w:val="center"/>
      </w:pP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--------------------------------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&lt;1&gt; </w:t>
      </w:r>
      <w:hyperlink r:id="rId7" w:history="1">
        <w:r w:rsidRPr="00360B9C">
          <w:t>Статья 46</w:t>
        </w:r>
      </w:hyperlink>
      <w:r w:rsidRPr="00360B9C">
        <w:t xml:space="preserve"> Федерального закона от 21.11.2011 N 323-ФЗ "Об основах охраны здоровья граждан в Российской Федерации".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3. Профилактический медицинский осмотр проводится 1 раз в 2 года.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В год прохождения диспансеризации профилактический медицинский осмотр не проводится.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4. 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</w:t>
      </w:r>
      <w:r w:rsidRPr="00360B9C">
        <w:lastRenderedPageBreak/>
        <w:t>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"рентгенологии", "клинической лабораторной диагностике" ("лабораторной диагностике").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6. 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8" w:history="1">
        <w:r w:rsidRPr="00360B9C">
          <w:t>представителя</w:t>
        </w:r>
      </w:hyperlink>
      <w:r w:rsidRPr="00360B9C"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порядке и по форме, которые утверждены Министерством здравоохранения Российской Федерации.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9" w:history="1">
        <w:r w:rsidRPr="00360B9C">
          <w:t>приказом</w:t>
        </w:r>
      </w:hyperlink>
      <w:r w:rsidRPr="00360B9C"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8. Основными задачами врача-терапевта при проведении профилактических медицинских осмотров являются: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</w:t>
      </w:r>
      <w:r w:rsidRPr="00360B9C">
        <w:lastRenderedPageBreak/>
        <w:t>(далее - паспорт здоровья);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5) подведение итогов профилактических медицинских осмотров.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 w:rsidRPr="00360B9C">
          <w:t>приложением</w:t>
        </w:r>
      </w:hyperlink>
      <w:r w:rsidRPr="00360B9C">
        <w:t xml:space="preserve"> к настоящему Порядку;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6) учет граждан, прошедших профилактический медицинский осмотр;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8) заполнение паспортной части и, по согласованию с врачом-терапевтом, других разделов паспорта здоровья.</w:t>
      </w:r>
    </w:p>
    <w:p w:rsidR="00273A23" w:rsidRPr="00360B9C" w:rsidRDefault="00273A23" w:rsidP="00273A23">
      <w:pPr>
        <w:pStyle w:val="ConsPlusNormal"/>
        <w:ind w:firstLine="540"/>
        <w:jc w:val="both"/>
      </w:pPr>
      <w:bookmarkStart w:id="2" w:name="Par62"/>
      <w:bookmarkEnd w:id="2"/>
      <w:r w:rsidRPr="00360B9C">
        <w:t>10. Профилактический медицинский осмотр включает в себя:</w:t>
      </w:r>
    </w:p>
    <w:p w:rsidR="00273A23" w:rsidRPr="00360B9C" w:rsidRDefault="00273A23" w:rsidP="00273A23">
      <w:pPr>
        <w:pStyle w:val="ConsPlusNormal"/>
        <w:ind w:firstLine="540"/>
        <w:jc w:val="both"/>
      </w:pPr>
      <w:bookmarkStart w:id="3" w:name="Par63"/>
      <w:bookmarkEnd w:id="3"/>
      <w:r w:rsidRPr="00360B9C"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2) антропометрию (измерение роста стоя, массы тела, окружности талии), расчет индекса массы тела;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3) измерение артериального давления;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4) определение уровня общего холестерина в крови экспресс-методом (допускается лабораторный метод);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5) исследование уровня глюкозы в крови экспресс-методом (допускается лабораторный метод);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6) определение суммарного сердечно-сосудистого риска (для граждан в возрасте до 65 лет);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7) флюорографию легких &lt;1&gt;;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--------------------------------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8) маммографию (для женщин в возрасте 39 лет и старше);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10) исследование кала на скрытую кровь (для граждан в возрасте 45 лет и старше);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11. При наличии у гражданина результатов исследований, указанных в </w:t>
      </w:r>
      <w:hyperlink w:anchor="Par62" w:history="1">
        <w:r w:rsidRPr="00360B9C">
          <w:t>пункте 10</w:t>
        </w:r>
      </w:hyperlink>
      <w:r w:rsidRPr="00360B9C"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Федерации.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13. 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0" w:history="1">
        <w:r w:rsidRPr="00360B9C">
          <w:t>форму N 025/у-04</w:t>
        </w:r>
      </w:hyperlink>
      <w:r w:rsidRPr="00360B9C"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15. Для определения по результатам профилактического медицинского осмотра группы состояния здоровья гражданина и планирования тактики его медицинского наблюдения используются следующие критерии: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--------------------------------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&lt;1&gt; По результатам дополнительного обследования группа состояния здоровья гражданина может быть изменена.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16. 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jc w:val="right"/>
        <w:outlineLvl w:val="1"/>
      </w:pPr>
      <w:r w:rsidRPr="00360B9C">
        <w:t>Приложение</w:t>
      </w:r>
    </w:p>
    <w:p w:rsidR="00273A23" w:rsidRPr="00360B9C" w:rsidRDefault="00273A23" w:rsidP="00273A23">
      <w:pPr>
        <w:pStyle w:val="ConsPlusNormal"/>
        <w:jc w:val="right"/>
      </w:pPr>
      <w:r w:rsidRPr="00360B9C">
        <w:t>к Порядку проведения профилактического</w:t>
      </w:r>
    </w:p>
    <w:p w:rsidR="00273A23" w:rsidRPr="00360B9C" w:rsidRDefault="00273A23" w:rsidP="00273A23">
      <w:pPr>
        <w:pStyle w:val="ConsPlusNormal"/>
        <w:jc w:val="right"/>
      </w:pPr>
      <w:r w:rsidRPr="00360B9C">
        <w:t>медицинского осмотра, утвержденному</w:t>
      </w:r>
    </w:p>
    <w:p w:rsidR="00273A23" w:rsidRPr="00360B9C" w:rsidRDefault="00273A23" w:rsidP="00273A23">
      <w:pPr>
        <w:pStyle w:val="ConsPlusNormal"/>
        <w:jc w:val="right"/>
      </w:pPr>
      <w:r w:rsidRPr="00360B9C">
        <w:t>приказом Министерства здравоохранения</w:t>
      </w:r>
    </w:p>
    <w:p w:rsidR="00273A23" w:rsidRPr="00360B9C" w:rsidRDefault="00273A23" w:rsidP="00273A23">
      <w:pPr>
        <w:pStyle w:val="ConsPlusNormal"/>
        <w:jc w:val="right"/>
      </w:pPr>
      <w:r w:rsidRPr="00360B9C">
        <w:t>Российской Федерации</w:t>
      </w:r>
    </w:p>
    <w:p w:rsidR="00273A23" w:rsidRPr="00360B9C" w:rsidRDefault="00273A23" w:rsidP="00273A23">
      <w:pPr>
        <w:pStyle w:val="ConsPlusNormal"/>
        <w:jc w:val="right"/>
      </w:pPr>
      <w:r w:rsidRPr="00360B9C">
        <w:t>от __________ N ____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jc w:val="center"/>
      </w:pPr>
      <w:bookmarkStart w:id="4" w:name="Par106"/>
      <w:bookmarkEnd w:id="4"/>
      <w:r w:rsidRPr="00360B9C">
        <w:t>ДИАГНОСТИЧЕСКИЕ КРИТЕРИИ</w:t>
      </w:r>
    </w:p>
    <w:p w:rsidR="00273A23" w:rsidRPr="00360B9C" w:rsidRDefault="00273A23" w:rsidP="00273A23">
      <w:pPr>
        <w:pStyle w:val="ConsPlusNormal"/>
        <w:jc w:val="center"/>
      </w:pPr>
      <w:r w:rsidRPr="00360B9C">
        <w:t>ФАКТОРОВ РИСКА РАЗВИТИЯ ХРОНИЧЕСКИХ</w:t>
      </w:r>
    </w:p>
    <w:p w:rsidR="00273A23" w:rsidRPr="00360B9C" w:rsidRDefault="00273A23" w:rsidP="00273A23">
      <w:pPr>
        <w:pStyle w:val="ConsPlusNormal"/>
        <w:jc w:val="center"/>
      </w:pPr>
      <w:r w:rsidRPr="00360B9C">
        <w:t>НЕИНФЕКЦИОННЫХ ЗАБОЛЕВАНИЙ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Гипергликемия - уровень глюкозы плазмы натощак более 6,1 ммоль/л или проведение гиполикемической терапии.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Курение табака - ежедневное выкуривание одной сигареты и более.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Избыточная масса тела - индекс массы тела 25 - 29,9 кг/м2, ожирение - индекс массы тела более 30 кг/м2.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Низкая физическая активность - ходьба в умеренном или быстром темпе менее 30 минут в день.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 w:rsidRPr="00360B9C">
          <w:t>подпунктом 1 пункта 10</w:t>
        </w:r>
      </w:hyperlink>
      <w:r w:rsidRPr="00360B9C"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273A23" w:rsidRPr="00360B9C" w:rsidRDefault="00273A23" w:rsidP="00273A23">
      <w:pPr>
        <w:pStyle w:val="ConsPlusNormal"/>
        <w:ind w:firstLine="540"/>
        <w:jc w:val="both"/>
      </w:pPr>
      <w:r w:rsidRPr="00360B9C">
        <w:t>Суммарный сердечно-сосудистый риск устанавливается при отсутствии у гражданина доказанных заболеваний, связанных с атеросклерозом.</w:t>
      </w: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ind w:firstLine="540"/>
        <w:jc w:val="both"/>
      </w:pPr>
    </w:p>
    <w:p w:rsidR="00273A23" w:rsidRPr="00360B9C" w:rsidRDefault="00273A23" w:rsidP="00273A2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C2174" w:rsidRPr="00360B9C" w:rsidRDefault="007C2174"/>
    <w:sectPr w:rsidR="007C2174" w:rsidRPr="00360B9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3"/>
    <w:rsid w:val="00273A23"/>
    <w:rsid w:val="002966D5"/>
    <w:rsid w:val="00360B9C"/>
    <w:rsid w:val="00387304"/>
    <w:rsid w:val="007C2174"/>
    <w:rsid w:val="00D5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3A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A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73A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B7100014AA8888943EC3429312A4990D94444049E17C6B5C8A4706D26CEEB47B1F6E06C446qBQ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7B7100014AA8888943EC3429312A491079344444ABC766305864501DD33F9B332136F06C442B7qDQ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7B7100014AA8888943EC3429312A491079344444ABC766305864501DD33F9B332136F06C442B6qDQ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E2CDB789DC0F3EDD8146089DFACC8993CA30A18C3A3CEA7013BEBABFE29716EA4382C9F888FEU0U8M" TargetMode="External"/><Relationship Id="rId10" Type="http://schemas.openxmlformats.org/officeDocument/2006/relationships/hyperlink" Target="consultantplus://offline/ref=D707B7100014AA8888943EC3429312A4950495414449E17C6B5C8A4706D26CEEB47B1F6E06C442qB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7B7100014AA8888943EC3429312A491069B404340BC766305864501DD33F9B332136F06C446BFqDQ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Links>
    <vt:vector size="60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1376342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consultantplus://offline/ref=D707B7100014AA8888943EC3429312A4950495414449E17C6B5C8A4706D26CEEB47B1F6E06C442qBQ8I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6684722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7798894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consultantplus://offline/ref=D707B7100014AA8888943EC3429312A491069B404340BC766305864501DD33F9B332136F06C446BFqDQ3I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consultantplus://offline/ref=D707B7100014AA8888943EC3429312A4990D94444049E17C6B5C8A4706D26CEEB47B1F6E06C446qBQBI</vt:lpwstr>
      </vt:variant>
      <vt:variant>
        <vt:lpwstr/>
      </vt:variant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consultantplus://offline/ref=D707B7100014AA8888943EC3429312A491079344444ABC766305864501DD33F9B332136F06C442B7qDQAI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7798835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consultantplus://offline/ref=D707B7100014AA8888943EC3429312A491079344444ABC766305864501DD33F9B332136F06C442B6qDQ8I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consultantplus://offline/ref=59E2CDB789DC0F3EDD8146089DFACC8993CA30A18C3A3CEA7013BEBABFE29716EA4382C9F888FEU0U8M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Вересов Марк Владимирович</dc:creator>
  <cp:lastModifiedBy>Елена</cp:lastModifiedBy>
  <cp:revision>2</cp:revision>
  <dcterms:created xsi:type="dcterms:W3CDTF">2018-11-28T16:19:00Z</dcterms:created>
  <dcterms:modified xsi:type="dcterms:W3CDTF">2018-11-28T16:19:00Z</dcterms:modified>
</cp:coreProperties>
</file>